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174" w:rsidRPr="00BE0707" w:rsidRDefault="00B37174" w:rsidP="00181D35">
      <w:pPr>
        <w:spacing w:after="0" w:line="240" w:lineRule="auto"/>
        <w:rPr>
          <w:rFonts w:ascii="Times New Roman" w:eastAsia="Times New Roman" w:hAnsi="Times New Roman" w:cs="Times New Roman"/>
          <w:sz w:val="24"/>
          <w:szCs w:val="24"/>
        </w:rPr>
      </w:pPr>
    </w:p>
    <w:p w:rsidR="00F756B1" w:rsidRDefault="00F756B1" w:rsidP="00181D35">
      <w:pPr>
        <w:spacing w:line="240" w:lineRule="auto"/>
        <w:jc w:val="center"/>
        <w:rPr>
          <w:rFonts w:ascii="Times New Roman" w:hAnsi="Times New Roman" w:cs="Times New Roman"/>
          <w:b/>
          <w:sz w:val="24"/>
          <w:szCs w:val="24"/>
        </w:rPr>
      </w:pPr>
    </w:p>
    <w:p w:rsidR="00F756B1" w:rsidRDefault="00F756B1" w:rsidP="00181D35">
      <w:pPr>
        <w:spacing w:line="240" w:lineRule="auto"/>
        <w:jc w:val="center"/>
        <w:rPr>
          <w:rFonts w:ascii="Times New Roman" w:hAnsi="Times New Roman" w:cs="Times New Roman"/>
          <w:b/>
          <w:sz w:val="24"/>
          <w:szCs w:val="24"/>
        </w:rPr>
      </w:pPr>
    </w:p>
    <w:p w:rsidR="00F756B1" w:rsidRDefault="00F756B1" w:rsidP="00181D35">
      <w:pPr>
        <w:spacing w:line="240" w:lineRule="auto"/>
        <w:jc w:val="center"/>
        <w:rPr>
          <w:rFonts w:ascii="Times New Roman" w:hAnsi="Times New Roman" w:cs="Times New Roman"/>
          <w:b/>
          <w:sz w:val="24"/>
          <w:szCs w:val="24"/>
        </w:rPr>
      </w:pPr>
    </w:p>
    <w:p w:rsidR="00F756B1" w:rsidRDefault="00F756B1" w:rsidP="00181D35">
      <w:pPr>
        <w:spacing w:line="240" w:lineRule="auto"/>
        <w:jc w:val="center"/>
        <w:rPr>
          <w:rFonts w:ascii="Times New Roman" w:hAnsi="Times New Roman" w:cs="Times New Roman"/>
          <w:b/>
          <w:sz w:val="24"/>
          <w:szCs w:val="24"/>
        </w:rPr>
      </w:pPr>
    </w:p>
    <w:p w:rsidR="00F756B1" w:rsidRDefault="00F756B1" w:rsidP="00181D35">
      <w:pPr>
        <w:spacing w:line="240" w:lineRule="auto"/>
        <w:jc w:val="center"/>
        <w:rPr>
          <w:rFonts w:ascii="Times New Roman" w:hAnsi="Times New Roman" w:cs="Times New Roman"/>
          <w:b/>
          <w:sz w:val="24"/>
          <w:szCs w:val="24"/>
        </w:rPr>
      </w:pPr>
    </w:p>
    <w:p w:rsidR="00F756B1" w:rsidRDefault="00F756B1" w:rsidP="00181D35">
      <w:pPr>
        <w:spacing w:line="240" w:lineRule="auto"/>
        <w:jc w:val="center"/>
        <w:rPr>
          <w:rFonts w:ascii="Times New Roman" w:hAnsi="Times New Roman" w:cs="Times New Roman"/>
          <w:b/>
          <w:sz w:val="24"/>
          <w:szCs w:val="24"/>
        </w:rPr>
      </w:pPr>
    </w:p>
    <w:p w:rsidR="00F756B1" w:rsidRDefault="00F756B1" w:rsidP="00181D35">
      <w:pPr>
        <w:spacing w:line="240" w:lineRule="auto"/>
        <w:jc w:val="center"/>
        <w:rPr>
          <w:rFonts w:ascii="Times New Roman" w:hAnsi="Times New Roman" w:cs="Times New Roman"/>
          <w:b/>
          <w:sz w:val="24"/>
          <w:szCs w:val="24"/>
        </w:rPr>
      </w:pPr>
    </w:p>
    <w:p w:rsidR="00F756B1" w:rsidRDefault="00F756B1" w:rsidP="00181D35">
      <w:pPr>
        <w:spacing w:line="240" w:lineRule="auto"/>
        <w:jc w:val="center"/>
        <w:rPr>
          <w:rFonts w:ascii="Times New Roman" w:hAnsi="Times New Roman" w:cs="Times New Roman"/>
          <w:b/>
          <w:sz w:val="24"/>
          <w:szCs w:val="24"/>
        </w:rPr>
      </w:pPr>
    </w:p>
    <w:p w:rsidR="00F756B1" w:rsidRDefault="00F756B1" w:rsidP="00181D35">
      <w:pPr>
        <w:spacing w:line="240" w:lineRule="auto"/>
        <w:jc w:val="center"/>
        <w:rPr>
          <w:rFonts w:ascii="Times New Roman" w:hAnsi="Times New Roman" w:cs="Times New Roman"/>
          <w:b/>
          <w:sz w:val="24"/>
          <w:szCs w:val="24"/>
        </w:rPr>
      </w:pPr>
    </w:p>
    <w:p w:rsidR="0078654A" w:rsidRDefault="000A7702" w:rsidP="00181D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Elderly P</w:t>
      </w:r>
      <w:r w:rsidRPr="00BE0707">
        <w:rPr>
          <w:rFonts w:ascii="Times New Roman" w:hAnsi="Times New Roman" w:cs="Times New Roman"/>
          <w:b/>
          <w:sz w:val="24"/>
          <w:szCs w:val="24"/>
        </w:rPr>
        <w:t>olypharmacy</w:t>
      </w:r>
    </w:p>
    <w:p w:rsidR="00F756B1" w:rsidRDefault="00F756B1" w:rsidP="00181D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F756B1" w:rsidRDefault="00F756B1" w:rsidP="00181D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rsidR="00F756B1" w:rsidRDefault="00F756B1" w:rsidP="00181D35">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Default="00F756B1" w:rsidP="00F756B1">
      <w:pPr>
        <w:spacing w:line="240" w:lineRule="auto"/>
        <w:jc w:val="center"/>
        <w:rPr>
          <w:rFonts w:ascii="Times New Roman" w:hAnsi="Times New Roman" w:cs="Times New Roman"/>
          <w:b/>
          <w:sz w:val="24"/>
          <w:szCs w:val="24"/>
        </w:rPr>
      </w:pPr>
    </w:p>
    <w:p w:rsidR="00F756B1" w:rsidRPr="00BE0707" w:rsidRDefault="00F756B1" w:rsidP="00F756B1">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Elderly P</w:t>
      </w:r>
      <w:r w:rsidRPr="00BE0707">
        <w:rPr>
          <w:rFonts w:ascii="Times New Roman" w:hAnsi="Times New Roman" w:cs="Times New Roman"/>
          <w:b/>
          <w:sz w:val="24"/>
          <w:szCs w:val="24"/>
        </w:rPr>
        <w:t>olypharmacy</w:t>
      </w:r>
    </w:p>
    <w:p w:rsidR="00BE0707" w:rsidRPr="00BE0707" w:rsidRDefault="000A7702" w:rsidP="00181D35">
      <w:pPr>
        <w:spacing w:line="240" w:lineRule="auto"/>
        <w:ind w:firstLine="720"/>
        <w:rPr>
          <w:rFonts w:ascii="Times New Roman" w:hAnsi="Times New Roman" w:cs="Times New Roman"/>
          <w:sz w:val="24"/>
          <w:szCs w:val="24"/>
        </w:rPr>
      </w:pPr>
      <w:r w:rsidRPr="00BE0707">
        <w:rPr>
          <w:rFonts w:ascii="Times New Roman" w:hAnsi="Times New Roman" w:cs="Times New Roman"/>
          <w:sz w:val="24"/>
          <w:szCs w:val="24"/>
        </w:rPr>
        <w:t>Elderly polypharmacy is an approach geared toward managing the combination of medications given to the aging population. Notably, the current healthcare industry is managed tactically to ensure that it meets the agin</w:t>
      </w:r>
      <w:r w:rsidR="00DE3CD5" w:rsidRPr="00BE0707">
        <w:rPr>
          <w:rFonts w:ascii="Times New Roman" w:hAnsi="Times New Roman" w:cs="Times New Roman"/>
          <w:sz w:val="24"/>
          <w:szCs w:val="24"/>
        </w:rPr>
        <w:t xml:space="preserve">g population's needs. According to </w:t>
      </w:r>
      <w:r w:rsidR="00DE3CD5" w:rsidRPr="00BE0707">
        <w:rPr>
          <w:rFonts w:ascii="Times New Roman" w:hAnsi="Times New Roman" w:cs="Times New Roman"/>
          <w:color w:val="222222"/>
          <w:sz w:val="24"/>
          <w:szCs w:val="24"/>
          <w:shd w:val="clear" w:color="auto" w:fill="FFFFFF"/>
        </w:rPr>
        <w:t>Badawy et al</w:t>
      </w:r>
      <w:r w:rsidR="00FC0CB5" w:rsidRPr="00BE0707">
        <w:rPr>
          <w:rFonts w:ascii="Times New Roman" w:hAnsi="Times New Roman" w:cs="Times New Roman"/>
          <w:color w:val="222222"/>
          <w:sz w:val="24"/>
          <w:szCs w:val="24"/>
          <w:shd w:val="clear" w:color="auto" w:fill="FFFFFF"/>
        </w:rPr>
        <w:t>.</w:t>
      </w:r>
      <w:r w:rsidR="00DE3CD5" w:rsidRPr="00BE0707">
        <w:rPr>
          <w:rFonts w:ascii="Times New Roman" w:hAnsi="Times New Roman" w:cs="Times New Roman"/>
          <w:color w:val="222222"/>
          <w:sz w:val="24"/>
          <w:szCs w:val="24"/>
          <w:shd w:val="clear" w:color="auto" w:fill="FFFFFF"/>
        </w:rPr>
        <w:t xml:space="preserve"> (2020)</w:t>
      </w:r>
      <w:r w:rsidRPr="00BE0707">
        <w:rPr>
          <w:rFonts w:ascii="Times New Roman" w:hAnsi="Times New Roman" w:cs="Times New Roman"/>
          <w:sz w:val="24"/>
          <w:szCs w:val="24"/>
        </w:rPr>
        <w:t xml:space="preserve">, various healthcare conditions need to be managed among the aging, adverse side effects of </w:t>
      </w:r>
      <w:bookmarkStart w:id="0" w:name="_GoBack"/>
      <w:bookmarkEnd w:id="0"/>
      <w:r w:rsidRPr="00BE0707">
        <w:rPr>
          <w:rFonts w:ascii="Times New Roman" w:hAnsi="Times New Roman" w:cs="Times New Roman"/>
          <w:sz w:val="24"/>
          <w:szCs w:val="24"/>
        </w:rPr>
        <w:t>medications, inappropriate therapy</w:t>
      </w:r>
      <w:r w:rsidR="002F0152" w:rsidRPr="00BE0707">
        <w:rPr>
          <w:rFonts w:ascii="Times New Roman" w:hAnsi="Times New Roman" w:cs="Times New Roman"/>
          <w:sz w:val="24"/>
          <w:szCs w:val="24"/>
        </w:rPr>
        <w:t>, drug interactions, and non-adherence</w:t>
      </w:r>
      <w:r w:rsidR="005255E7" w:rsidRPr="00BE0707">
        <w:rPr>
          <w:rFonts w:ascii="Times New Roman" w:hAnsi="Times New Roman" w:cs="Times New Roman"/>
          <w:sz w:val="24"/>
          <w:szCs w:val="24"/>
        </w:rPr>
        <w:t xml:space="preserve"> to provided guidelines</w:t>
      </w:r>
      <w:r w:rsidR="00FC0CB5" w:rsidRPr="00BE0707">
        <w:rPr>
          <w:rFonts w:ascii="Times New Roman" w:hAnsi="Times New Roman" w:cs="Times New Roman"/>
          <w:sz w:val="24"/>
          <w:szCs w:val="24"/>
        </w:rPr>
        <w:t xml:space="preserve">. </w:t>
      </w:r>
      <w:r w:rsidR="00FC0CB5" w:rsidRPr="00BE0707">
        <w:rPr>
          <w:rFonts w:ascii="Times New Roman" w:hAnsi="Times New Roman" w:cs="Times New Roman"/>
          <w:color w:val="222222"/>
          <w:sz w:val="24"/>
          <w:szCs w:val="24"/>
          <w:shd w:val="clear" w:color="auto" w:fill="FFFFFF"/>
        </w:rPr>
        <w:t>Badawy et al. (2020)</w:t>
      </w:r>
      <w:r w:rsidR="002F0152" w:rsidRPr="00BE0707">
        <w:rPr>
          <w:rFonts w:ascii="Times New Roman" w:hAnsi="Times New Roman" w:cs="Times New Roman"/>
          <w:sz w:val="24"/>
          <w:szCs w:val="24"/>
        </w:rPr>
        <w:t xml:space="preserve"> further suggested that healthcare practitioners should be vigilant when attending to the elderly's combined medications to meet patients' needs optimally. </w:t>
      </w:r>
      <w:r w:rsidR="00455461" w:rsidRPr="00BE0707">
        <w:rPr>
          <w:rFonts w:ascii="Times New Roman" w:hAnsi="Times New Roman" w:cs="Times New Roman"/>
          <w:sz w:val="24"/>
          <w:szCs w:val="24"/>
        </w:rPr>
        <w:t>A</w:t>
      </w:r>
      <w:r w:rsidR="003E226C" w:rsidRPr="00BE0707">
        <w:rPr>
          <w:rFonts w:ascii="Times New Roman" w:hAnsi="Times New Roman" w:cs="Times New Roman"/>
          <w:sz w:val="24"/>
          <w:szCs w:val="24"/>
        </w:rPr>
        <w:t xml:space="preserve">s such, the nursing team will be required to analyze and </w:t>
      </w:r>
      <w:r w:rsidR="001061EF" w:rsidRPr="00BE0707">
        <w:rPr>
          <w:rFonts w:ascii="Times New Roman" w:hAnsi="Times New Roman" w:cs="Times New Roman"/>
          <w:sz w:val="24"/>
          <w:szCs w:val="24"/>
        </w:rPr>
        <w:t>reorganize all elderly medication processes to mitigate the occurrence of the above adverse impacts.</w:t>
      </w:r>
    </w:p>
    <w:p w:rsidR="00F1458D" w:rsidRPr="00BE0707" w:rsidRDefault="000A7702" w:rsidP="00181D35">
      <w:pPr>
        <w:spacing w:line="240" w:lineRule="auto"/>
        <w:ind w:firstLine="720"/>
        <w:rPr>
          <w:rFonts w:ascii="Times New Roman" w:hAnsi="Times New Roman" w:cs="Times New Roman"/>
          <w:sz w:val="24"/>
          <w:szCs w:val="24"/>
        </w:rPr>
      </w:pPr>
      <w:r w:rsidRPr="00BE0707">
        <w:rPr>
          <w:rFonts w:ascii="Times New Roman" w:hAnsi="Times New Roman" w:cs="Times New Roman"/>
          <w:sz w:val="24"/>
          <w:szCs w:val="24"/>
        </w:rPr>
        <w:t xml:space="preserve">According to WHO (2020), </w:t>
      </w:r>
      <w:r w:rsidR="005255E7" w:rsidRPr="00BE0707">
        <w:rPr>
          <w:rFonts w:ascii="Times New Roman" w:hAnsi="Times New Roman" w:cs="Times New Roman"/>
          <w:sz w:val="24"/>
          <w:szCs w:val="24"/>
        </w:rPr>
        <w:t>e</w:t>
      </w:r>
      <w:r w:rsidRPr="00BE0707">
        <w:rPr>
          <w:rFonts w:ascii="Times New Roman" w:hAnsi="Times New Roman" w:cs="Times New Roman"/>
          <w:sz w:val="24"/>
          <w:szCs w:val="24"/>
        </w:rPr>
        <w:t>lderly polypharmacy is a common health condition among the elderly since it is associated with</w:t>
      </w:r>
      <w:r w:rsidR="00533E23" w:rsidRPr="00BE0707">
        <w:rPr>
          <w:rFonts w:ascii="Times New Roman" w:hAnsi="Times New Roman" w:cs="Times New Roman"/>
          <w:sz w:val="24"/>
          <w:szCs w:val="24"/>
        </w:rPr>
        <w:t xml:space="preserve"> an average of 50% to 60% of </w:t>
      </w:r>
      <w:r w:rsidR="005255E7" w:rsidRPr="00BE0707">
        <w:rPr>
          <w:rFonts w:ascii="Times New Roman" w:hAnsi="Times New Roman" w:cs="Times New Roman"/>
          <w:sz w:val="24"/>
          <w:szCs w:val="24"/>
        </w:rPr>
        <w:t>the entire population worldwide</w:t>
      </w:r>
      <w:r w:rsidR="00533E23" w:rsidRPr="00BE0707">
        <w:rPr>
          <w:rFonts w:ascii="Times New Roman" w:hAnsi="Times New Roman" w:cs="Times New Roman"/>
          <w:sz w:val="24"/>
          <w:szCs w:val="24"/>
        </w:rPr>
        <w:t xml:space="preserve">. According to </w:t>
      </w:r>
      <w:r w:rsidR="00533E23" w:rsidRPr="00BE0707">
        <w:rPr>
          <w:rFonts w:ascii="Times New Roman" w:hAnsi="Times New Roman" w:cs="Times New Roman"/>
          <w:color w:val="222222"/>
          <w:sz w:val="24"/>
          <w:szCs w:val="24"/>
          <w:shd w:val="clear" w:color="auto" w:fill="FFFFFF"/>
        </w:rPr>
        <w:t xml:space="preserve">Rieckert et al. (2020), </w:t>
      </w:r>
      <w:r w:rsidR="005255E7" w:rsidRPr="00BE0707">
        <w:rPr>
          <w:rFonts w:ascii="Times New Roman" w:hAnsi="Times New Roman" w:cs="Times New Roman"/>
          <w:sz w:val="24"/>
          <w:szCs w:val="24"/>
        </w:rPr>
        <w:t>e</w:t>
      </w:r>
      <w:r w:rsidR="00533E23" w:rsidRPr="00BE0707">
        <w:rPr>
          <w:rFonts w:ascii="Times New Roman" w:hAnsi="Times New Roman" w:cs="Times New Roman"/>
          <w:sz w:val="24"/>
          <w:szCs w:val="24"/>
        </w:rPr>
        <w:t>lderly polypharmacy entails co-prescribing patients with a series of medicatio</w:t>
      </w:r>
      <w:r w:rsidR="00282B6C" w:rsidRPr="00BE0707">
        <w:rPr>
          <w:rFonts w:ascii="Times New Roman" w:hAnsi="Times New Roman" w:cs="Times New Roman"/>
          <w:sz w:val="24"/>
          <w:szCs w:val="24"/>
        </w:rPr>
        <w:t xml:space="preserve">ns. The multiple prescriptions may in the form of </w:t>
      </w:r>
      <w:r w:rsidR="00470F16" w:rsidRPr="00BE0707">
        <w:rPr>
          <w:rFonts w:ascii="Times New Roman" w:hAnsi="Times New Roman" w:cs="Times New Roman"/>
          <w:sz w:val="24"/>
          <w:szCs w:val="24"/>
        </w:rPr>
        <w:t xml:space="preserve">using medications devoid of clinical directions, inappropriate use of drugs, using six or more medications simultaneously, in addition to visiting multiple pharmacies. </w:t>
      </w:r>
      <w:r w:rsidR="00593004" w:rsidRPr="00BE0707">
        <w:rPr>
          <w:rFonts w:ascii="Times New Roman" w:hAnsi="Times New Roman" w:cs="Times New Roman"/>
          <w:sz w:val="24"/>
          <w:szCs w:val="24"/>
        </w:rPr>
        <w:t xml:space="preserve">Management of </w:t>
      </w:r>
      <w:r w:rsidR="005255E7" w:rsidRPr="00BE0707">
        <w:rPr>
          <w:rFonts w:ascii="Times New Roman" w:hAnsi="Times New Roman" w:cs="Times New Roman"/>
          <w:sz w:val="24"/>
          <w:szCs w:val="24"/>
        </w:rPr>
        <w:t>e</w:t>
      </w:r>
      <w:r w:rsidR="00593004" w:rsidRPr="00BE0707">
        <w:rPr>
          <w:rFonts w:ascii="Times New Roman" w:hAnsi="Times New Roman" w:cs="Times New Roman"/>
          <w:sz w:val="24"/>
          <w:szCs w:val="24"/>
        </w:rPr>
        <w:t>lderly polypharmacy is done based on various aspects, including age, health status, access to pharmaceutical services, ethnicity, and education</w:t>
      </w:r>
      <w:r w:rsidRPr="00BE0707">
        <w:rPr>
          <w:rFonts w:ascii="Times New Roman" w:hAnsi="Times New Roman" w:cs="Times New Roman"/>
          <w:sz w:val="24"/>
          <w:szCs w:val="24"/>
        </w:rPr>
        <w:t xml:space="preserve"> level (WHO, 2020)</w:t>
      </w:r>
      <w:r w:rsidR="00593004" w:rsidRPr="00BE0707">
        <w:rPr>
          <w:rFonts w:ascii="Times New Roman" w:hAnsi="Times New Roman" w:cs="Times New Roman"/>
          <w:sz w:val="24"/>
          <w:szCs w:val="24"/>
        </w:rPr>
        <w:t xml:space="preserve">. Due to its complexity in management, </w:t>
      </w:r>
      <w:r w:rsidRPr="00BE0707">
        <w:rPr>
          <w:rFonts w:ascii="Times New Roman" w:hAnsi="Times New Roman" w:cs="Times New Roman"/>
          <w:sz w:val="24"/>
          <w:szCs w:val="24"/>
        </w:rPr>
        <w:t>e</w:t>
      </w:r>
      <w:r w:rsidR="00593004" w:rsidRPr="00BE0707">
        <w:rPr>
          <w:rFonts w:ascii="Times New Roman" w:hAnsi="Times New Roman" w:cs="Times New Roman"/>
          <w:sz w:val="24"/>
          <w:szCs w:val="24"/>
        </w:rPr>
        <w:t>lderly polypharmacy impacts patient</w:t>
      </w:r>
      <w:r w:rsidR="00161C61" w:rsidRPr="00BE0707">
        <w:rPr>
          <w:rFonts w:ascii="Times New Roman" w:hAnsi="Times New Roman" w:cs="Times New Roman"/>
          <w:sz w:val="24"/>
          <w:szCs w:val="24"/>
        </w:rPr>
        <w:t xml:space="preserve">s' health negatively, for instance, the ever-increasing cost of managing the multiple medications and the risks associated with the practice. According to </w:t>
      </w:r>
      <w:r w:rsidR="00161C61" w:rsidRPr="00BE0707">
        <w:rPr>
          <w:rFonts w:ascii="Times New Roman" w:hAnsi="Times New Roman" w:cs="Times New Roman"/>
          <w:color w:val="222222"/>
          <w:sz w:val="24"/>
          <w:szCs w:val="24"/>
          <w:shd w:val="clear" w:color="auto" w:fill="FFFFFF"/>
        </w:rPr>
        <w:t>Rodrigues</w:t>
      </w:r>
      <w:r w:rsidR="00161C61" w:rsidRPr="00BE0707">
        <w:rPr>
          <w:rFonts w:ascii="Times New Roman" w:hAnsi="Times New Roman" w:cs="Times New Roman"/>
          <w:sz w:val="24"/>
          <w:szCs w:val="24"/>
        </w:rPr>
        <w:t xml:space="preserve"> et al. (2020), Elderly polypharmacy has been a significant concern among</w:t>
      </w:r>
      <w:r w:rsidR="00AF4494" w:rsidRPr="00BE0707">
        <w:rPr>
          <w:rFonts w:ascii="Times New Roman" w:hAnsi="Times New Roman" w:cs="Times New Roman"/>
          <w:sz w:val="24"/>
          <w:szCs w:val="24"/>
        </w:rPr>
        <w:t xml:space="preserve"> the aging</w:t>
      </w:r>
      <w:r w:rsidR="00161C61" w:rsidRPr="00BE0707">
        <w:rPr>
          <w:rFonts w:ascii="Times New Roman" w:hAnsi="Times New Roman" w:cs="Times New Roman"/>
          <w:sz w:val="24"/>
          <w:szCs w:val="24"/>
        </w:rPr>
        <w:t>, al</w:t>
      </w:r>
      <w:r w:rsidRPr="00BE0707">
        <w:rPr>
          <w:rFonts w:ascii="Times New Roman" w:hAnsi="Times New Roman" w:cs="Times New Roman"/>
          <w:sz w:val="24"/>
          <w:szCs w:val="24"/>
        </w:rPr>
        <w:t xml:space="preserve">though most healthcare facilities can prevent it. As such, doctors are advised to be much cognizant of addressing multiple medication administration to the elderly population.   </w:t>
      </w:r>
    </w:p>
    <w:p w:rsidR="00BE0707" w:rsidRPr="00BE0707" w:rsidRDefault="000A7702" w:rsidP="00181D35">
      <w:pPr>
        <w:spacing w:line="240" w:lineRule="auto"/>
        <w:ind w:firstLine="720"/>
        <w:rPr>
          <w:rFonts w:ascii="Times New Roman" w:hAnsi="Times New Roman" w:cs="Times New Roman"/>
          <w:sz w:val="24"/>
          <w:szCs w:val="24"/>
          <w:shd w:val="clear" w:color="auto" w:fill="FFFFFF"/>
        </w:rPr>
      </w:pPr>
      <w:r w:rsidRPr="00BE0707">
        <w:rPr>
          <w:rFonts w:ascii="Times New Roman" w:hAnsi="Times New Roman" w:cs="Times New Roman"/>
          <w:sz w:val="24"/>
          <w:szCs w:val="24"/>
        </w:rPr>
        <w:t xml:space="preserve">A perfect example of elderly polypharmacy is evidenced in the literature that was conducted by </w:t>
      </w:r>
      <w:r w:rsidRPr="00BE0707">
        <w:rPr>
          <w:rFonts w:ascii="Times New Roman" w:hAnsi="Times New Roman" w:cs="Times New Roman"/>
          <w:sz w:val="24"/>
          <w:szCs w:val="24"/>
          <w:shd w:val="clear" w:color="auto" w:fill="FFFFFF"/>
        </w:rPr>
        <w:t>Rodrigues et al. (2020)</w:t>
      </w:r>
      <w:r w:rsidRPr="00BE0707">
        <w:rPr>
          <w:rFonts w:ascii="Times New Roman" w:hAnsi="Times New Roman" w:cs="Times New Roman"/>
          <w:sz w:val="24"/>
          <w:szCs w:val="24"/>
        </w:rPr>
        <w:t xml:space="preserve">. The case involved a 74-year-old patient </w:t>
      </w:r>
      <w:r w:rsidR="00FC7831" w:rsidRPr="00BE0707">
        <w:rPr>
          <w:rFonts w:ascii="Times New Roman" w:hAnsi="Times New Roman" w:cs="Times New Roman"/>
          <w:sz w:val="24"/>
          <w:szCs w:val="24"/>
        </w:rPr>
        <w:t xml:space="preserve">female Asian America weighing 94kg, which is a clear indication that she was obese. Besides, she was diagnosed with heart and kidney failure, hypertension, type 2 diabetes mellitus, </w:t>
      </w:r>
      <w:r w:rsidR="00FC7831" w:rsidRPr="00BE0707">
        <w:rPr>
          <w:rFonts w:ascii="Times New Roman" w:hAnsi="Times New Roman" w:cs="Times New Roman"/>
          <w:sz w:val="24"/>
          <w:szCs w:val="24"/>
          <w:shd w:val="clear" w:color="auto" w:fill="FFFFFF"/>
        </w:rPr>
        <w:t>hyperlipidemia, and glaucoma</w:t>
      </w:r>
      <w:r w:rsidR="00150F00" w:rsidRPr="00BE0707">
        <w:rPr>
          <w:rFonts w:ascii="Times New Roman" w:hAnsi="Times New Roman" w:cs="Times New Roman"/>
          <w:sz w:val="24"/>
          <w:szCs w:val="24"/>
          <w:shd w:val="clear" w:color="auto" w:fill="FFFFFF"/>
        </w:rPr>
        <w:t xml:space="preserve"> (Rodrigues et al., 2020)</w:t>
      </w:r>
      <w:r w:rsidR="00FC7831" w:rsidRPr="00BE0707">
        <w:rPr>
          <w:rFonts w:ascii="Times New Roman" w:hAnsi="Times New Roman" w:cs="Times New Roman"/>
          <w:sz w:val="24"/>
          <w:szCs w:val="24"/>
          <w:shd w:val="clear" w:color="auto" w:fill="FFFFFF"/>
        </w:rPr>
        <w:t>. Additionally, the patient was under other prescriptions to treat constipation,</w:t>
      </w:r>
      <w:r w:rsidR="00A833F3" w:rsidRPr="00BE0707">
        <w:rPr>
          <w:rFonts w:ascii="Times New Roman" w:hAnsi="Times New Roman" w:cs="Times New Roman"/>
          <w:sz w:val="24"/>
          <w:szCs w:val="24"/>
          <w:shd w:val="clear" w:color="auto" w:fill="FFFFFF"/>
        </w:rPr>
        <w:t xml:space="preserve"> insomnia, and heartburn. As a result, the patient was prescribed to take Docusate, Timolol, and calcium carbonate antacid to</w:t>
      </w:r>
      <w:r w:rsidR="00AF4494" w:rsidRPr="00BE0707">
        <w:rPr>
          <w:rFonts w:ascii="Times New Roman" w:hAnsi="Times New Roman" w:cs="Times New Roman"/>
          <w:sz w:val="24"/>
          <w:szCs w:val="24"/>
          <w:shd w:val="clear" w:color="auto" w:fill="FFFFFF"/>
        </w:rPr>
        <w:t xml:space="preserve"> treat </w:t>
      </w:r>
      <w:r w:rsidR="00A833F3" w:rsidRPr="00BE0707">
        <w:rPr>
          <w:rFonts w:ascii="Times New Roman" w:hAnsi="Times New Roman" w:cs="Times New Roman"/>
          <w:sz w:val="24"/>
          <w:szCs w:val="24"/>
          <w:shd w:val="clear" w:color="auto" w:fill="FFFFFF"/>
        </w:rPr>
        <w:t>constipation and glaucoma</w:t>
      </w:r>
      <w:r w:rsidR="00AF4494" w:rsidRPr="00BE0707">
        <w:rPr>
          <w:rFonts w:ascii="Times New Roman" w:hAnsi="Times New Roman" w:cs="Times New Roman"/>
          <w:sz w:val="24"/>
          <w:szCs w:val="24"/>
          <w:shd w:val="clear" w:color="auto" w:fill="FFFFFF"/>
        </w:rPr>
        <w:t>,</w:t>
      </w:r>
      <w:r w:rsidR="00A833F3" w:rsidRPr="00BE0707">
        <w:rPr>
          <w:rFonts w:ascii="Times New Roman" w:hAnsi="Times New Roman" w:cs="Times New Roman"/>
          <w:sz w:val="24"/>
          <w:szCs w:val="24"/>
          <w:shd w:val="clear" w:color="auto" w:fill="FFFFFF"/>
        </w:rPr>
        <w:t xml:space="preserve"> heartburn, respectively</w:t>
      </w:r>
      <w:r w:rsidR="00150F00" w:rsidRPr="00BE0707">
        <w:rPr>
          <w:rFonts w:ascii="Times New Roman" w:hAnsi="Times New Roman" w:cs="Times New Roman"/>
          <w:sz w:val="24"/>
          <w:szCs w:val="24"/>
          <w:shd w:val="clear" w:color="auto" w:fill="FFFFFF"/>
        </w:rPr>
        <w:t xml:space="preserve"> (Rodrigues et al., 2020)</w:t>
      </w:r>
      <w:r w:rsidR="00A833F3" w:rsidRPr="00BE0707">
        <w:rPr>
          <w:rFonts w:ascii="Times New Roman" w:hAnsi="Times New Roman" w:cs="Times New Roman"/>
          <w:sz w:val="24"/>
          <w:szCs w:val="24"/>
          <w:shd w:val="clear" w:color="auto" w:fill="FFFFFF"/>
        </w:rPr>
        <w:t xml:space="preserve">.   The patient was again advised to take Furosemide, Atorvastatin, and Zolpidem to </w:t>
      </w:r>
      <w:r w:rsidR="00FE094C" w:rsidRPr="00BE0707">
        <w:rPr>
          <w:rFonts w:ascii="Times New Roman" w:hAnsi="Times New Roman" w:cs="Times New Roman"/>
          <w:sz w:val="24"/>
          <w:szCs w:val="24"/>
          <w:shd w:val="clear" w:color="auto" w:fill="FFFFFF"/>
        </w:rPr>
        <w:t>treat heart</w:t>
      </w:r>
      <w:r w:rsidR="00A833F3" w:rsidRPr="00BE0707">
        <w:rPr>
          <w:rFonts w:ascii="Times New Roman" w:hAnsi="Times New Roman" w:cs="Times New Roman"/>
          <w:sz w:val="24"/>
          <w:szCs w:val="24"/>
          <w:shd w:val="clear" w:color="auto" w:fill="FFFFFF"/>
        </w:rPr>
        <w:t xml:space="preserve"> failure, HLD, and insomnia.</w:t>
      </w:r>
      <w:r w:rsidR="00150F00" w:rsidRPr="00BE0707">
        <w:rPr>
          <w:rFonts w:ascii="Times New Roman" w:hAnsi="Times New Roman" w:cs="Times New Roman"/>
          <w:sz w:val="24"/>
          <w:szCs w:val="24"/>
          <w:shd w:val="clear" w:color="auto" w:fill="FFFFFF"/>
        </w:rPr>
        <w:t xml:space="preserve"> Based on the provision of the above case, the </w:t>
      </w:r>
      <w:r w:rsidR="00AF4494" w:rsidRPr="00BE0707">
        <w:rPr>
          <w:rFonts w:ascii="Times New Roman" w:hAnsi="Times New Roman" w:cs="Times New Roman"/>
          <w:sz w:val="24"/>
          <w:szCs w:val="24"/>
          <w:shd w:val="clear" w:color="auto" w:fill="FFFFFF"/>
        </w:rPr>
        <w:t xml:space="preserve">patient </w:t>
      </w:r>
      <w:r w:rsidR="00150F00" w:rsidRPr="00BE0707">
        <w:rPr>
          <w:rFonts w:ascii="Times New Roman" w:hAnsi="Times New Roman" w:cs="Times New Roman"/>
          <w:sz w:val="24"/>
          <w:szCs w:val="24"/>
          <w:shd w:val="clear" w:color="auto" w:fill="FFFFFF"/>
        </w:rPr>
        <w:t xml:space="preserve">needed to be treated diligently to ensure that the multiple medications offered did not worsen her nutritional status further. </w:t>
      </w:r>
      <w:r w:rsidR="00150F00" w:rsidRPr="00BE0707">
        <w:rPr>
          <w:rFonts w:ascii="Times New Roman" w:hAnsi="Times New Roman" w:cs="Times New Roman"/>
          <w:color w:val="222222"/>
          <w:sz w:val="24"/>
          <w:szCs w:val="24"/>
          <w:shd w:val="clear" w:color="auto" w:fill="FFFFFF"/>
        </w:rPr>
        <w:t>Rieckert et al., (2020)</w:t>
      </w:r>
      <w:r w:rsidR="00150F00" w:rsidRPr="00BE0707">
        <w:rPr>
          <w:rFonts w:ascii="Times New Roman" w:hAnsi="Times New Roman" w:cs="Times New Roman"/>
          <w:sz w:val="24"/>
          <w:szCs w:val="24"/>
          <w:shd w:val="clear" w:color="auto" w:fill="FFFFFF"/>
        </w:rPr>
        <w:t xml:space="preserve"> enlightened that multiple drug administration to</w:t>
      </w:r>
      <w:r w:rsidR="00371758" w:rsidRPr="00BE0707">
        <w:rPr>
          <w:rFonts w:ascii="Times New Roman" w:hAnsi="Times New Roman" w:cs="Times New Roman"/>
          <w:sz w:val="24"/>
          <w:szCs w:val="24"/>
          <w:shd w:val="clear" w:color="auto" w:fill="FFFFFF"/>
        </w:rPr>
        <w:t xml:space="preserve"> the elderly demands handling nurses with the relevant skillset, thus</w:t>
      </w:r>
      <w:r w:rsidR="00AF4494" w:rsidRPr="00BE0707">
        <w:rPr>
          <w:rFonts w:ascii="Times New Roman" w:hAnsi="Times New Roman" w:cs="Times New Roman"/>
          <w:sz w:val="24"/>
          <w:szCs w:val="24"/>
          <w:shd w:val="clear" w:color="auto" w:fill="FFFFFF"/>
        </w:rPr>
        <w:t xml:space="preserve"> reducing</w:t>
      </w:r>
      <w:r w:rsidR="00371758" w:rsidRPr="00BE0707">
        <w:rPr>
          <w:rFonts w:ascii="Times New Roman" w:hAnsi="Times New Roman" w:cs="Times New Roman"/>
          <w:sz w:val="24"/>
          <w:szCs w:val="24"/>
          <w:shd w:val="clear" w:color="auto" w:fill="FFFFFF"/>
        </w:rPr>
        <w:t xml:space="preserve"> risks related to polypharmacy and worsening of previously identified health conditions.</w:t>
      </w:r>
    </w:p>
    <w:p w:rsidR="00181D35" w:rsidRDefault="000A7702" w:rsidP="00181D35">
      <w:pPr>
        <w:spacing w:line="240" w:lineRule="auto"/>
        <w:ind w:firstLine="720"/>
        <w:rPr>
          <w:rFonts w:ascii="Times New Roman" w:hAnsi="Times New Roman" w:cs="Times New Roman"/>
          <w:sz w:val="24"/>
          <w:szCs w:val="24"/>
          <w:shd w:val="clear" w:color="auto" w:fill="FFFFFF"/>
        </w:rPr>
      </w:pPr>
      <w:r w:rsidRPr="00BE0707">
        <w:rPr>
          <w:rFonts w:ascii="Times New Roman" w:hAnsi="Times New Roman" w:cs="Times New Roman"/>
          <w:sz w:val="24"/>
          <w:szCs w:val="24"/>
          <w:shd w:val="clear" w:color="auto" w:fill="FFFFFF"/>
        </w:rPr>
        <w:t xml:space="preserve"> Notably, </w:t>
      </w:r>
      <w:r w:rsidRPr="00BE0707">
        <w:rPr>
          <w:rFonts w:ascii="Times New Roman" w:hAnsi="Times New Roman" w:cs="Times New Roman"/>
          <w:color w:val="222222"/>
          <w:sz w:val="24"/>
          <w:szCs w:val="24"/>
          <w:shd w:val="clear" w:color="auto" w:fill="FFFFFF"/>
        </w:rPr>
        <w:t xml:space="preserve">multiple drug use among the elderly is effectively managed by considering dosage, side effects, guidelines, </w:t>
      </w:r>
      <w:r w:rsidR="00D80B04" w:rsidRPr="00BE0707">
        <w:rPr>
          <w:rFonts w:ascii="Times New Roman" w:hAnsi="Times New Roman" w:cs="Times New Roman"/>
          <w:color w:val="222222"/>
          <w:sz w:val="24"/>
          <w:szCs w:val="24"/>
          <w:shd w:val="clear" w:color="auto" w:fill="FFFFFF"/>
        </w:rPr>
        <w:t>drug reactions, social aspects, and phycology</w:t>
      </w:r>
      <w:r w:rsidR="003D0B1D" w:rsidRPr="00BE0707">
        <w:rPr>
          <w:rFonts w:ascii="Times New Roman" w:hAnsi="Times New Roman" w:cs="Times New Roman"/>
          <w:color w:val="222222"/>
          <w:sz w:val="24"/>
          <w:szCs w:val="24"/>
          <w:shd w:val="clear" w:color="auto" w:fill="FFFFFF"/>
        </w:rPr>
        <w:t xml:space="preserve">. Healthcare administrators should put in place a mechanism for controlling the multiple health conditions for aging. Again, nurses should understand that aging is an inevitable condition, and they should always be prepared to combat its side effects. Similarly, family members should be prepared to deal with this population's psychologically-based needs, including mental incapacitation, reduced body functionality, and exhaustion. </w:t>
      </w:r>
    </w:p>
    <w:p w:rsidR="00181D35" w:rsidRPr="005E6E74" w:rsidRDefault="00181D35" w:rsidP="00181D35">
      <w:pPr>
        <w:spacing w:line="240" w:lineRule="auto"/>
        <w:ind w:firstLine="720"/>
        <w:rPr>
          <w:rFonts w:ascii="Times New Roman" w:hAnsi="Times New Roman" w:cs="Times New Roman"/>
          <w:sz w:val="24"/>
          <w:szCs w:val="24"/>
        </w:rPr>
      </w:pPr>
      <w:r w:rsidRPr="005E6E74">
        <w:rPr>
          <w:rFonts w:ascii="Times New Roman" w:hAnsi="Times New Roman" w:cs="Times New Roman"/>
          <w:sz w:val="24"/>
          <w:szCs w:val="24"/>
        </w:rPr>
        <w:lastRenderedPageBreak/>
        <w:t>Polypharmacy has been confirmed to have unfortunate symptoms and signs similar to those experienced by the aging population. The symptoms include tiredness, decreased alertness, diarrhea, loss of appetite, falls, weakness, anxiety, sleepiness, constipation, incontinence, confusion, lack of interest in daily chores, tremors, and dizziness. According to Badawy et al. (2020), the use of polypharmacy among the elderly triggers adverse drug reactions (ADR) since most of the drugs are acquired over the counter. Besides, the aging stands a higher chance of experiencing ADR due to a consistent intake of multiple medications for an extended period. Badawy et al. (2020) enlightened that the high number of drugs taken to treat numerous health conditions increases the chances of experiencing consistent ADR's risk factor. Notably, a considerable number of patients undergoing polypharmacy have deteriorated medication compliance, unnecessary drug compliance expenses, and low-quality life. Rieckert et al. (2020) confirmed that polypharmacy impacts oral health negatively, including the experience with dry mouth syndrome. Examples of multiple drugs that can lead to mouth dehydration are diuretics, calcium channel blockers for treating cardiovascular diseases, anti-depressants, sedatives, anti-Parkinson's, anti-acids, anti-psychotics, central analgesics, and allergy medications. Rieckert et al. (2020) suggested that it is vital to analyze polypharmacy among the aging group to avoid the possibility of experiencing the above outlined adverse impacts. Equally, a detailed medication analysis combined with risk assessment should be undertaken by the recommended team to identify the appropriate combination of medications and various risk factors. Analysis of polypharmacy is effectively carried out using Assess Review Minimize Optimize Reassess, Screening Tool to Older Person's Potentially Inappropriate Prescriptions, and Screening Tool to Alert Doctors to the Right Treatment. Additionally, Trigger tools for measuring Adverse Drug Events, and ADR probability scales aids in evaluating the effect and cause of various medication errors (WHO,</w:t>
      </w:r>
      <w:r>
        <w:rPr>
          <w:rFonts w:ascii="Times New Roman" w:hAnsi="Times New Roman" w:cs="Times New Roman"/>
          <w:sz w:val="24"/>
          <w:szCs w:val="24"/>
        </w:rPr>
        <w:t xml:space="preserve"> 2020). Rieckert et al. (2020) </w:t>
      </w:r>
      <w:r w:rsidRPr="005E6E74">
        <w:rPr>
          <w:rFonts w:ascii="Times New Roman" w:hAnsi="Times New Roman" w:cs="Times New Roman"/>
          <w:sz w:val="24"/>
          <w:szCs w:val="24"/>
        </w:rPr>
        <w:t xml:space="preserve">opined that comprehensive polypharmacy analysis had enhanced nursing processes, especially the aging group, by eliminating the unnecessary dosages and initiating discontinuation of inappropriate medications. </w:t>
      </w:r>
    </w:p>
    <w:p w:rsidR="00DE3CD5" w:rsidRPr="00BE0707" w:rsidRDefault="00181D35" w:rsidP="00181D35">
      <w:pPr>
        <w:spacing w:line="240" w:lineRule="auto"/>
        <w:ind w:firstLine="720"/>
        <w:rPr>
          <w:rFonts w:ascii="Times New Roman" w:hAnsi="Times New Roman" w:cs="Times New Roman"/>
          <w:sz w:val="24"/>
          <w:szCs w:val="24"/>
          <w:shd w:val="clear" w:color="auto" w:fill="FFFFFF"/>
        </w:rPr>
      </w:pPr>
      <w:r w:rsidRPr="005E6E74">
        <w:rPr>
          <w:rFonts w:ascii="Times New Roman" w:hAnsi="Times New Roman" w:cs="Times New Roman"/>
          <w:sz w:val="24"/>
          <w:szCs w:val="24"/>
        </w:rPr>
        <w:t xml:space="preserve">Evaluation of multiple medications on the elderly should be conducted frequently, for instance, on a monthly basis to combat the associated adverse impacts. According to Rodrigues et al. (2020), it is recommended by healthcare practitioners to prescribe a single drug/agent on a single health condition as opposed to multiple drugs. Again, doctors are advised to commence treating certain health conditions with the lowest drug dosage, and medication advancement can be initiated after a medical analysis is done. Notably, patients under polypharmacy should be advised to prefer utilizing twice a day medication approach rather than thrice a day plan. Rodrigues et al. (2020) suggested that doctors discontinue prescription drugs suspected to bring complications to the patient. Besides, medicines that do not have any confirmed clinical indication or a beneficial impact on the patient should be discontinued. SimilarlySimilarly, it is essential to identify and eliminate unessential drugs prescribed by two or more doctors to treat a similar illness (Rodrigues et al., 2020). Notably, safer drugs should be taken as the first priority to eliminate instances of high-risk medications. Rodrigues et al. (2020) suggested that the identification and avoidance of polypharmacy can be beneficial to the aging population due to the reduced chance of experiencing adverse drug reactions. Notably, through managing polypharmacy, patients will have an improved quality of life and reduced possibilities of worsening current conditions. Overly, medication review on multiple drug intake cases should be highly encouraged to combat its adverse impacts.                                        </w:t>
      </w:r>
    </w:p>
    <w:p w:rsidR="00181D35" w:rsidRDefault="00181D35" w:rsidP="00181D35">
      <w:pPr>
        <w:spacing w:line="240" w:lineRule="auto"/>
        <w:jc w:val="center"/>
        <w:rPr>
          <w:rFonts w:ascii="Times New Roman" w:hAnsi="Times New Roman" w:cs="Times New Roman"/>
          <w:b/>
          <w:sz w:val="24"/>
          <w:szCs w:val="24"/>
        </w:rPr>
      </w:pPr>
    </w:p>
    <w:p w:rsidR="00DE3CD5" w:rsidRPr="00BE0707" w:rsidRDefault="000A7702" w:rsidP="00181D35">
      <w:pPr>
        <w:spacing w:line="240" w:lineRule="auto"/>
        <w:jc w:val="center"/>
        <w:rPr>
          <w:rFonts w:ascii="Times New Roman" w:hAnsi="Times New Roman" w:cs="Times New Roman"/>
          <w:b/>
          <w:sz w:val="24"/>
          <w:szCs w:val="24"/>
        </w:rPr>
      </w:pPr>
      <w:r w:rsidRPr="00BE0707">
        <w:rPr>
          <w:rFonts w:ascii="Times New Roman" w:hAnsi="Times New Roman" w:cs="Times New Roman"/>
          <w:b/>
          <w:sz w:val="24"/>
          <w:szCs w:val="24"/>
        </w:rPr>
        <w:lastRenderedPageBreak/>
        <w:t>References</w:t>
      </w:r>
    </w:p>
    <w:p w:rsidR="00BE0707" w:rsidRDefault="000A7702" w:rsidP="00181D35">
      <w:pPr>
        <w:spacing w:line="240" w:lineRule="auto"/>
        <w:rPr>
          <w:rFonts w:ascii="Times New Roman" w:hAnsi="Times New Roman" w:cs="Times New Roman"/>
          <w:color w:val="222222"/>
          <w:sz w:val="24"/>
          <w:szCs w:val="24"/>
          <w:shd w:val="clear" w:color="auto" w:fill="FFFFFF"/>
        </w:rPr>
      </w:pPr>
      <w:r w:rsidRPr="00BE0707">
        <w:rPr>
          <w:rFonts w:ascii="Times New Roman" w:hAnsi="Times New Roman" w:cs="Times New Roman"/>
          <w:color w:val="222222"/>
          <w:sz w:val="24"/>
          <w:szCs w:val="24"/>
          <w:shd w:val="clear" w:color="auto" w:fill="FFFFFF"/>
        </w:rPr>
        <w:t xml:space="preserve">Badawy, N. A., Labeeb, S. A., Alsamdan, M. F., &amp; Alazemi, B. F. (2020). Prevalence and Risk </w:t>
      </w:r>
    </w:p>
    <w:p w:rsidR="006C061F" w:rsidRPr="00BE0707" w:rsidRDefault="000A7702" w:rsidP="00181D35">
      <w:pPr>
        <w:spacing w:line="240" w:lineRule="auto"/>
        <w:ind w:left="720"/>
        <w:rPr>
          <w:rFonts w:ascii="Times New Roman" w:hAnsi="Times New Roman" w:cs="Times New Roman"/>
          <w:color w:val="222222"/>
          <w:sz w:val="24"/>
          <w:szCs w:val="24"/>
          <w:shd w:val="clear" w:color="auto" w:fill="FFFFFF"/>
        </w:rPr>
      </w:pPr>
      <w:r w:rsidRPr="00BE0707">
        <w:rPr>
          <w:rFonts w:ascii="Times New Roman" w:hAnsi="Times New Roman" w:cs="Times New Roman"/>
          <w:color w:val="222222"/>
          <w:sz w:val="24"/>
          <w:szCs w:val="24"/>
          <w:shd w:val="clear" w:color="auto" w:fill="FFFFFF"/>
        </w:rPr>
        <w:t>of Polypharmacy among Community-Dwelling, Elderly Kuwaiti Patients. </w:t>
      </w:r>
      <w:r w:rsidRPr="00BE0707">
        <w:rPr>
          <w:rFonts w:ascii="Times New Roman" w:hAnsi="Times New Roman" w:cs="Times New Roman"/>
          <w:i/>
          <w:iCs/>
          <w:color w:val="222222"/>
          <w:sz w:val="24"/>
          <w:szCs w:val="24"/>
          <w:shd w:val="clear" w:color="auto" w:fill="FFFFFF"/>
        </w:rPr>
        <w:t>Medical Principles and Practice</w:t>
      </w:r>
      <w:r w:rsidRPr="00BE0707">
        <w:rPr>
          <w:rFonts w:ascii="Times New Roman" w:hAnsi="Times New Roman" w:cs="Times New Roman"/>
          <w:color w:val="222222"/>
          <w:sz w:val="24"/>
          <w:szCs w:val="24"/>
          <w:shd w:val="clear" w:color="auto" w:fill="FFFFFF"/>
        </w:rPr>
        <w:t>, </w:t>
      </w:r>
      <w:r w:rsidRPr="00BE0707">
        <w:rPr>
          <w:rFonts w:ascii="Times New Roman" w:hAnsi="Times New Roman" w:cs="Times New Roman"/>
          <w:i/>
          <w:iCs/>
          <w:color w:val="222222"/>
          <w:sz w:val="24"/>
          <w:szCs w:val="24"/>
          <w:shd w:val="clear" w:color="auto" w:fill="FFFFFF"/>
        </w:rPr>
        <w:t>29</w:t>
      </w:r>
      <w:r w:rsidRPr="00BE0707">
        <w:rPr>
          <w:rFonts w:ascii="Times New Roman" w:hAnsi="Times New Roman" w:cs="Times New Roman"/>
          <w:color w:val="222222"/>
          <w:sz w:val="24"/>
          <w:szCs w:val="24"/>
          <w:shd w:val="clear" w:color="auto" w:fill="FFFFFF"/>
        </w:rPr>
        <w:t>(2), 166-173.</w:t>
      </w:r>
    </w:p>
    <w:p w:rsidR="00BE0707" w:rsidRDefault="000A7702" w:rsidP="00181D35">
      <w:pPr>
        <w:spacing w:line="240" w:lineRule="auto"/>
        <w:rPr>
          <w:rFonts w:ascii="Times New Roman" w:hAnsi="Times New Roman" w:cs="Times New Roman"/>
          <w:color w:val="222222"/>
          <w:sz w:val="24"/>
          <w:szCs w:val="24"/>
          <w:shd w:val="clear" w:color="auto" w:fill="FFFFFF"/>
        </w:rPr>
      </w:pPr>
      <w:r w:rsidRPr="00BE0707">
        <w:rPr>
          <w:rFonts w:ascii="Times New Roman" w:hAnsi="Times New Roman" w:cs="Times New Roman"/>
          <w:color w:val="222222"/>
          <w:sz w:val="24"/>
          <w:szCs w:val="24"/>
          <w:shd w:val="clear" w:color="auto" w:fill="FFFFFF"/>
        </w:rPr>
        <w:t xml:space="preserve">Rieckert, A., Reeves, D., Altiner, A., Drewelow, E., Esmail, A., Flamm, M., ... &amp; Löffler, C. </w:t>
      </w:r>
    </w:p>
    <w:p w:rsidR="00DE3CD5" w:rsidRPr="00BE0707" w:rsidRDefault="000A7702" w:rsidP="00181D35">
      <w:pPr>
        <w:spacing w:line="240" w:lineRule="auto"/>
        <w:ind w:left="720"/>
        <w:rPr>
          <w:rFonts w:ascii="Times New Roman" w:hAnsi="Times New Roman" w:cs="Times New Roman"/>
          <w:color w:val="222222"/>
          <w:sz w:val="24"/>
          <w:szCs w:val="24"/>
          <w:shd w:val="clear" w:color="auto" w:fill="FFFFFF"/>
        </w:rPr>
      </w:pPr>
      <w:r w:rsidRPr="00BE0707">
        <w:rPr>
          <w:rFonts w:ascii="Times New Roman" w:hAnsi="Times New Roman" w:cs="Times New Roman"/>
          <w:color w:val="222222"/>
          <w:sz w:val="24"/>
          <w:szCs w:val="24"/>
          <w:shd w:val="clear" w:color="auto" w:fill="FFFFFF"/>
        </w:rPr>
        <w:t>(2020). Use of an electronic decision support tool to reduce polypharmacy in elderly people with chronic diseases: cluster randomised controlled trial. </w:t>
      </w:r>
      <w:r w:rsidRPr="00BE0707">
        <w:rPr>
          <w:rFonts w:ascii="Times New Roman" w:hAnsi="Times New Roman" w:cs="Times New Roman"/>
          <w:i/>
          <w:iCs/>
          <w:color w:val="222222"/>
          <w:sz w:val="24"/>
          <w:szCs w:val="24"/>
          <w:shd w:val="clear" w:color="auto" w:fill="FFFFFF"/>
        </w:rPr>
        <w:t>bmj</w:t>
      </w:r>
      <w:r w:rsidRPr="00BE0707">
        <w:rPr>
          <w:rFonts w:ascii="Times New Roman" w:hAnsi="Times New Roman" w:cs="Times New Roman"/>
          <w:color w:val="222222"/>
          <w:sz w:val="24"/>
          <w:szCs w:val="24"/>
          <w:shd w:val="clear" w:color="auto" w:fill="FFFFFF"/>
        </w:rPr>
        <w:t>, </w:t>
      </w:r>
      <w:r w:rsidRPr="00BE0707">
        <w:rPr>
          <w:rFonts w:ascii="Times New Roman" w:hAnsi="Times New Roman" w:cs="Times New Roman"/>
          <w:i/>
          <w:iCs/>
          <w:color w:val="222222"/>
          <w:sz w:val="24"/>
          <w:szCs w:val="24"/>
          <w:shd w:val="clear" w:color="auto" w:fill="FFFFFF"/>
        </w:rPr>
        <w:t>369</w:t>
      </w:r>
      <w:r w:rsidRPr="00BE0707">
        <w:rPr>
          <w:rFonts w:ascii="Times New Roman" w:hAnsi="Times New Roman" w:cs="Times New Roman"/>
          <w:color w:val="222222"/>
          <w:sz w:val="24"/>
          <w:szCs w:val="24"/>
          <w:shd w:val="clear" w:color="auto" w:fill="FFFFFF"/>
        </w:rPr>
        <w:t>.</w:t>
      </w:r>
    </w:p>
    <w:p w:rsidR="00BE0707" w:rsidRDefault="000A7702" w:rsidP="00181D35">
      <w:pPr>
        <w:spacing w:line="240" w:lineRule="auto"/>
        <w:rPr>
          <w:rFonts w:ascii="Times New Roman" w:hAnsi="Times New Roman" w:cs="Times New Roman"/>
          <w:color w:val="222222"/>
          <w:sz w:val="24"/>
          <w:szCs w:val="24"/>
          <w:shd w:val="clear" w:color="auto" w:fill="FFFFFF"/>
        </w:rPr>
      </w:pPr>
      <w:r w:rsidRPr="00BE0707">
        <w:rPr>
          <w:rFonts w:ascii="Times New Roman" w:hAnsi="Times New Roman" w:cs="Times New Roman"/>
          <w:color w:val="222222"/>
          <w:sz w:val="24"/>
          <w:szCs w:val="24"/>
          <w:shd w:val="clear" w:color="auto" w:fill="FFFFFF"/>
        </w:rPr>
        <w:t xml:space="preserve">Rodrigues, D. A., Herdeiro, M. T., Figueiras, A., Coutinho, P., &amp; Roque, F. (2020). Elderly and </w:t>
      </w:r>
    </w:p>
    <w:p w:rsidR="00FC0CB5" w:rsidRPr="00BE0707" w:rsidRDefault="000A7702" w:rsidP="00181D35">
      <w:pPr>
        <w:spacing w:line="240" w:lineRule="auto"/>
        <w:ind w:left="720"/>
        <w:rPr>
          <w:rFonts w:ascii="Times New Roman" w:hAnsi="Times New Roman" w:cs="Times New Roman"/>
          <w:color w:val="222222"/>
          <w:sz w:val="24"/>
          <w:szCs w:val="24"/>
          <w:shd w:val="clear" w:color="auto" w:fill="FFFFFF"/>
        </w:rPr>
      </w:pPr>
      <w:r w:rsidRPr="00BE0707">
        <w:rPr>
          <w:rFonts w:ascii="Times New Roman" w:hAnsi="Times New Roman" w:cs="Times New Roman"/>
          <w:color w:val="222222"/>
          <w:sz w:val="24"/>
          <w:szCs w:val="24"/>
          <w:shd w:val="clear" w:color="auto" w:fill="FFFFFF"/>
        </w:rPr>
        <w:t>Polypharmacy: Physiological and Cognitive Changes. In </w:t>
      </w:r>
      <w:r w:rsidRPr="00BE0707">
        <w:rPr>
          <w:rFonts w:ascii="Times New Roman" w:hAnsi="Times New Roman" w:cs="Times New Roman"/>
          <w:i/>
          <w:iCs/>
          <w:color w:val="222222"/>
          <w:sz w:val="24"/>
          <w:szCs w:val="24"/>
          <w:shd w:val="clear" w:color="auto" w:fill="FFFFFF"/>
        </w:rPr>
        <w:t>Frailty in the Elderly-Physical, Cognitive and Emotional Domains</w:t>
      </w:r>
      <w:r w:rsidRPr="00BE0707">
        <w:rPr>
          <w:rFonts w:ascii="Times New Roman" w:hAnsi="Times New Roman" w:cs="Times New Roman"/>
          <w:color w:val="222222"/>
          <w:sz w:val="24"/>
          <w:szCs w:val="24"/>
          <w:shd w:val="clear" w:color="auto" w:fill="FFFFFF"/>
        </w:rPr>
        <w:t>. IntechOpen.</w:t>
      </w:r>
    </w:p>
    <w:p w:rsidR="00BE0707" w:rsidRDefault="000A7702" w:rsidP="00181D35">
      <w:pPr>
        <w:spacing w:line="240" w:lineRule="auto"/>
        <w:rPr>
          <w:rFonts w:ascii="Times New Roman" w:hAnsi="Times New Roman" w:cs="Times New Roman"/>
          <w:sz w:val="24"/>
          <w:szCs w:val="24"/>
        </w:rPr>
      </w:pPr>
      <w:r w:rsidRPr="00BE0707">
        <w:rPr>
          <w:rFonts w:ascii="Times New Roman" w:hAnsi="Times New Roman" w:cs="Times New Roman"/>
          <w:color w:val="222222"/>
          <w:sz w:val="24"/>
          <w:szCs w:val="24"/>
          <w:shd w:val="clear" w:color="auto" w:fill="FFFFFF"/>
        </w:rPr>
        <w:t xml:space="preserve">World Health Education (2020). Effective management of </w:t>
      </w:r>
      <w:r w:rsidRPr="00BE0707">
        <w:rPr>
          <w:rFonts w:ascii="Times New Roman" w:hAnsi="Times New Roman" w:cs="Times New Roman"/>
          <w:sz w:val="24"/>
          <w:szCs w:val="24"/>
        </w:rPr>
        <w:t xml:space="preserve">elderly polypharmacy. Available at </w:t>
      </w:r>
    </w:p>
    <w:p w:rsidR="005255E7" w:rsidRPr="00BE0707" w:rsidRDefault="00853A85" w:rsidP="00181D35">
      <w:pPr>
        <w:spacing w:line="240" w:lineRule="auto"/>
        <w:ind w:firstLine="720"/>
        <w:rPr>
          <w:rFonts w:ascii="Times New Roman" w:hAnsi="Times New Roman" w:cs="Times New Roman"/>
          <w:sz w:val="24"/>
          <w:szCs w:val="24"/>
        </w:rPr>
      </w:pPr>
      <w:hyperlink r:id="rId6" w:history="1">
        <w:r w:rsidR="000A7702" w:rsidRPr="00BE0707">
          <w:rPr>
            <w:rStyle w:val="Hyperlink"/>
            <w:rFonts w:ascii="Times New Roman" w:hAnsi="Times New Roman" w:cs="Times New Roman"/>
            <w:sz w:val="24"/>
            <w:szCs w:val="24"/>
          </w:rPr>
          <w:t>https://www.who.int</w:t>
        </w:r>
      </w:hyperlink>
    </w:p>
    <w:p w:rsidR="006C061F" w:rsidRPr="00BE0707" w:rsidRDefault="006C061F" w:rsidP="00181D35">
      <w:pPr>
        <w:spacing w:line="240" w:lineRule="auto"/>
        <w:rPr>
          <w:rFonts w:ascii="Times New Roman" w:hAnsi="Times New Roman" w:cs="Times New Roman"/>
          <w:sz w:val="24"/>
          <w:szCs w:val="24"/>
        </w:rPr>
      </w:pPr>
    </w:p>
    <w:sectPr w:rsidR="006C061F" w:rsidRPr="00BE0707" w:rsidSect="0078654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7045" w:rsidRDefault="001B7045" w:rsidP="00F756B1">
      <w:pPr>
        <w:spacing w:after="0" w:line="240" w:lineRule="auto"/>
      </w:pPr>
      <w:r>
        <w:separator/>
      </w:r>
    </w:p>
  </w:endnote>
  <w:endnote w:type="continuationSeparator" w:id="1">
    <w:p w:rsidR="001B7045" w:rsidRDefault="001B7045" w:rsidP="00F756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7045" w:rsidRDefault="001B7045" w:rsidP="00F756B1">
      <w:pPr>
        <w:spacing w:after="0" w:line="240" w:lineRule="auto"/>
      </w:pPr>
      <w:r>
        <w:separator/>
      </w:r>
    </w:p>
  </w:footnote>
  <w:footnote w:type="continuationSeparator" w:id="1">
    <w:p w:rsidR="001B7045" w:rsidRDefault="001B7045" w:rsidP="00F756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B1" w:rsidRPr="00F756B1" w:rsidRDefault="00F756B1">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853A85" w:rsidRPr="00F756B1">
      <w:rPr>
        <w:rFonts w:ascii="Times New Roman" w:hAnsi="Times New Roman" w:cs="Times New Roman"/>
        <w:sz w:val="24"/>
        <w:szCs w:val="24"/>
      </w:rPr>
      <w:fldChar w:fldCharType="begin"/>
    </w:r>
    <w:r w:rsidRPr="00F756B1">
      <w:rPr>
        <w:rFonts w:ascii="Times New Roman" w:hAnsi="Times New Roman" w:cs="Times New Roman"/>
        <w:sz w:val="24"/>
        <w:szCs w:val="24"/>
      </w:rPr>
      <w:instrText xml:space="preserve"> PAGE   \* MERGEFORMAT </w:instrText>
    </w:r>
    <w:r w:rsidR="00853A85" w:rsidRPr="00F756B1">
      <w:rPr>
        <w:rFonts w:ascii="Times New Roman" w:hAnsi="Times New Roman" w:cs="Times New Roman"/>
        <w:sz w:val="24"/>
        <w:szCs w:val="24"/>
      </w:rPr>
      <w:fldChar w:fldCharType="separate"/>
    </w:r>
    <w:r w:rsidR="00586310">
      <w:rPr>
        <w:rFonts w:ascii="Times New Roman" w:hAnsi="Times New Roman" w:cs="Times New Roman"/>
        <w:noProof/>
        <w:sz w:val="24"/>
        <w:szCs w:val="24"/>
      </w:rPr>
      <w:t>1</w:t>
    </w:r>
    <w:r w:rsidR="00853A85" w:rsidRPr="00F756B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7174"/>
    <w:rsid w:val="000A7702"/>
    <w:rsid w:val="001061EF"/>
    <w:rsid w:val="00150F00"/>
    <w:rsid w:val="00161C61"/>
    <w:rsid w:val="00181D35"/>
    <w:rsid w:val="001B7045"/>
    <w:rsid w:val="00282B6C"/>
    <w:rsid w:val="002F0152"/>
    <w:rsid w:val="00371758"/>
    <w:rsid w:val="003D0B1D"/>
    <w:rsid w:val="003D7A63"/>
    <w:rsid w:val="003E226C"/>
    <w:rsid w:val="003F76D3"/>
    <w:rsid w:val="00455461"/>
    <w:rsid w:val="00470F16"/>
    <w:rsid w:val="005255E7"/>
    <w:rsid w:val="00533E23"/>
    <w:rsid w:val="00586310"/>
    <w:rsid w:val="00593004"/>
    <w:rsid w:val="006C061F"/>
    <w:rsid w:val="0078654A"/>
    <w:rsid w:val="00791BB1"/>
    <w:rsid w:val="00853A85"/>
    <w:rsid w:val="009237AA"/>
    <w:rsid w:val="00A833F3"/>
    <w:rsid w:val="00A87CE3"/>
    <w:rsid w:val="00AF4494"/>
    <w:rsid w:val="00B37174"/>
    <w:rsid w:val="00BE0707"/>
    <w:rsid w:val="00D80B04"/>
    <w:rsid w:val="00DE3CD5"/>
    <w:rsid w:val="00F1458D"/>
    <w:rsid w:val="00F756B1"/>
    <w:rsid w:val="00FC0CB5"/>
    <w:rsid w:val="00FC7831"/>
    <w:rsid w:val="00FE09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5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B37174"/>
  </w:style>
  <w:style w:type="character" w:customStyle="1" w:styleId="txt-light-blue">
    <w:name w:val="txt-light-blue"/>
    <w:basedOn w:val="DefaultParagraphFont"/>
    <w:rsid w:val="00B37174"/>
  </w:style>
  <w:style w:type="character" w:styleId="Hyperlink">
    <w:name w:val="Hyperlink"/>
    <w:basedOn w:val="DefaultParagraphFont"/>
    <w:uiPriority w:val="99"/>
    <w:unhideWhenUsed/>
    <w:rsid w:val="005255E7"/>
    <w:rPr>
      <w:color w:val="0000FF" w:themeColor="hyperlink"/>
      <w:u w:val="single"/>
    </w:rPr>
  </w:style>
  <w:style w:type="paragraph" w:styleId="Header">
    <w:name w:val="header"/>
    <w:basedOn w:val="Normal"/>
    <w:link w:val="HeaderChar"/>
    <w:uiPriority w:val="99"/>
    <w:semiHidden/>
    <w:unhideWhenUsed/>
    <w:rsid w:val="00F756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56B1"/>
  </w:style>
  <w:style w:type="paragraph" w:styleId="Footer">
    <w:name w:val="footer"/>
    <w:basedOn w:val="Normal"/>
    <w:link w:val="FooterChar"/>
    <w:uiPriority w:val="99"/>
    <w:semiHidden/>
    <w:unhideWhenUsed/>
    <w:rsid w:val="00F756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56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o.in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3</cp:revision>
  <dcterms:created xsi:type="dcterms:W3CDTF">2020-11-07T05:45:00Z</dcterms:created>
  <dcterms:modified xsi:type="dcterms:W3CDTF">2020-11-07T05:45:00Z</dcterms:modified>
</cp:coreProperties>
</file>